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1D098B" w14:textId="08767726" w:rsidR="00C4521C" w:rsidRDefault="00C4521C" w:rsidP="00C4521C">
      <w:pPr>
        <w:pStyle w:val="CuerpoA"/>
        <w:spacing w:line="276" w:lineRule="auto"/>
        <w:ind w:right="284"/>
        <w:jc w:val="center"/>
        <w:rPr>
          <w:rStyle w:val="Ninguno"/>
          <w:rFonts w:ascii="Helvetica" w:hAnsi="Helvetica"/>
          <w:b/>
          <w:bCs/>
          <w:sz w:val="28"/>
          <w:szCs w:val="28"/>
        </w:rPr>
      </w:pPr>
      <w:bookmarkStart w:id="0" w:name="OLE_LINK1"/>
      <w:r>
        <w:rPr>
          <w:rFonts w:ascii="Helvetica" w:hAnsi="Helvetica"/>
          <w:b/>
          <w:bCs/>
          <w:noProof/>
          <w:sz w:val="28"/>
          <w:szCs w:val="28"/>
        </w:rPr>
        <w:drawing>
          <wp:inline distT="0" distB="0" distL="0" distR="0" wp14:anchorId="43C5A779" wp14:editId="4B7442E9">
            <wp:extent cx="1533333" cy="1057143"/>
            <wp:effectExtent l="0" t="0" r="0" b="0"/>
            <wp:docPr id="5222558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55835" name="Imagen 5222558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295AB" w14:textId="7988A489" w:rsidR="00AD5270" w:rsidRPr="00C4521C" w:rsidRDefault="00072131">
      <w:pPr>
        <w:pStyle w:val="CuerpoA"/>
        <w:spacing w:line="276" w:lineRule="auto"/>
        <w:ind w:right="284"/>
        <w:jc w:val="both"/>
        <w:rPr>
          <w:rStyle w:val="Ninguno"/>
          <w:rFonts w:ascii="Helvetica" w:hAnsi="Helvetica"/>
          <w:b/>
          <w:bCs/>
        </w:rPr>
      </w:pPr>
      <w:r w:rsidRPr="00C4521C">
        <w:rPr>
          <w:rStyle w:val="Ninguno"/>
          <w:rFonts w:ascii="Helvetica" w:hAnsi="Helvetica"/>
          <w:b/>
          <w:bCs/>
        </w:rPr>
        <w:t>N</w:t>
      </w:r>
      <w:bookmarkEnd w:id="0"/>
      <w:r w:rsidRPr="00C4521C">
        <w:rPr>
          <w:rStyle w:val="Ninguno"/>
          <w:rFonts w:ascii="Helvetica" w:hAnsi="Helvetica"/>
          <w:b/>
          <w:bCs/>
        </w:rPr>
        <w:t>ikolai Demidenko</w:t>
      </w:r>
      <w:bookmarkStart w:id="1" w:name="OLE_LINK2"/>
    </w:p>
    <w:p w14:paraId="13ED186A" w14:textId="237D1BC0" w:rsidR="004A1CD6" w:rsidRPr="00C4521C" w:rsidRDefault="004A1CD6">
      <w:pPr>
        <w:pStyle w:val="CuerpoA"/>
        <w:spacing w:line="276" w:lineRule="auto"/>
        <w:ind w:right="284"/>
        <w:jc w:val="both"/>
        <w:rPr>
          <w:rStyle w:val="Ninguno"/>
          <w:rFonts w:ascii="Helvetica" w:eastAsia="Helvetica" w:hAnsi="Helvetica" w:cs="Helvetica"/>
          <w:b/>
          <w:bCs/>
        </w:rPr>
      </w:pPr>
      <w:r w:rsidRPr="00C4521C">
        <w:rPr>
          <w:rStyle w:val="Ninguno"/>
          <w:rFonts w:ascii="Helvetica" w:hAnsi="Helvetica"/>
          <w:b/>
          <w:bCs/>
        </w:rPr>
        <w:t>Piano</w:t>
      </w:r>
    </w:p>
    <w:bookmarkEnd w:id="1"/>
    <w:p w14:paraId="67B4C43E" w14:textId="77777777" w:rsidR="00AD5270" w:rsidRDefault="00AD5270">
      <w:pPr>
        <w:pStyle w:val="CuerpoA"/>
        <w:spacing w:line="276" w:lineRule="auto"/>
        <w:ind w:right="284"/>
        <w:jc w:val="both"/>
        <w:rPr>
          <w:rStyle w:val="Ninguno"/>
          <w:rFonts w:ascii="Helvetica" w:eastAsia="Helvetica" w:hAnsi="Helvetica" w:cs="Helvetica"/>
          <w:sz w:val="22"/>
          <w:szCs w:val="22"/>
        </w:rPr>
      </w:pPr>
    </w:p>
    <w:p w14:paraId="1CD979EF" w14:textId="79BC6B9A" w:rsidR="00AD5270" w:rsidRPr="004A1CD6" w:rsidRDefault="00072131">
      <w:pPr>
        <w:pStyle w:val="Encabezado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uppressAutoHyphens/>
        <w:jc w:val="both"/>
        <w:rPr>
          <w:rStyle w:val="Ninguno"/>
          <w:rFonts w:ascii="Helvetica" w:eastAsia="Arial" w:hAnsi="Helvetica" w:cs="Arial"/>
          <w:sz w:val="21"/>
          <w:szCs w:val="21"/>
        </w:rPr>
      </w:pPr>
      <w:r w:rsidRPr="004A1CD6">
        <w:rPr>
          <w:rStyle w:val="Ninguno"/>
          <w:rFonts w:ascii="Helvetica" w:hAnsi="Helvetica"/>
          <w:sz w:val="21"/>
          <w:szCs w:val="21"/>
        </w:rPr>
        <w:t>Grandes interpretaciones de más de 50 conciertos avalan a Nikolai Demidenko específicamente</w:t>
      </w:r>
      <w:r w:rsidR="001174D0" w:rsidRPr="004A1CD6">
        <w:rPr>
          <w:rStyle w:val="Ninguno"/>
          <w:rFonts w:ascii="Helvetica" w:hAnsi="Helvetica"/>
          <w:sz w:val="21"/>
          <w:szCs w:val="21"/>
        </w:rPr>
        <w:t xml:space="preserve"> </w:t>
      </w:r>
      <w:r w:rsidRPr="004A1CD6">
        <w:rPr>
          <w:rStyle w:val="Ninguno"/>
          <w:rFonts w:ascii="Helvetica" w:hAnsi="Helvetica"/>
          <w:sz w:val="21"/>
          <w:szCs w:val="21"/>
        </w:rPr>
        <w:t xml:space="preserve">interpretando Beethoven, Chopin, Brahms, Prokofiev, Rachmaninov, Scriabin, Medtner y Tchaikovsky. Y gracias a ello se ha ganado el reconocimiento mundial por su virtuosismo, pasión y musicalidad. </w:t>
      </w:r>
    </w:p>
    <w:p w14:paraId="5E277F84" w14:textId="77777777" w:rsidR="00AD5270" w:rsidRPr="004A1CD6" w:rsidRDefault="00AD5270">
      <w:pPr>
        <w:pStyle w:val="Encabezado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uppressAutoHyphens/>
        <w:jc w:val="both"/>
        <w:rPr>
          <w:rStyle w:val="Ninguno"/>
          <w:rFonts w:ascii="Helvetica" w:eastAsia="Arial" w:hAnsi="Helvetica" w:cs="Arial"/>
          <w:sz w:val="21"/>
          <w:szCs w:val="21"/>
        </w:rPr>
      </w:pPr>
    </w:p>
    <w:p w14:paraId="2C53E5E9" w14:textId="119E574A" w:rsidR="00AD5270" w:rsidRPr="004A1CD6" w:rsidRDefault="00072131">
      <w:pPr>
        <w:pStyle w:val="Encabezado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uppressAutoHyphens/>
        <w:jc w:val="both"/>
        <w:rPr>
          <w:rStyle w:val="Ninguno"/>
          <w:rFonts w:ascii="Helvetica" w:hAnsi="Helvetica"/>
          <w:sz w:val="21"/>
          <w:szCs w:val="21"/>
        </w:rPr>
      </w:pPr>
      <w:r w:rsidRPr="004A1CD6">
        <w:rPr>
          <w:rStyle w:val="Ninguno"/>
          <w:rFonts w:ascii="Helvetica" w:hAnsi="Helvetica"/>
          <w:sz w:val="21"/>
          <w:szCs w:val="21"/>
        </w:rPr>
        <w:t>Nikolai ha trabajado con destacados directores como Yuri Termikanov, Sir Roger Norrington, Vladimir Fedoseyev, Charles Dutoit, Sir Andrew Davis, Giancarlo Guerrero, Dima Slobodeniouk</w:t>
      </w:r>
      <w:r w:rsidR="001174D0" w:rsidRPr="004A1CD6">
        <w:rPr>
          <w:rStyle w:val="Ninguno"/>
          <w:rFonts w:ascii="Helvetica" w:hAnsi="Helvetica"/>
          <w:sz w:val="21"/>
          <w:szCs w:val="21"/>
        </w:rPr>
        <w:t>, Pablo González</w:t>
      </w:r>
      <w:r w:rsidRPr="004A1CD6">
        <w:rPr>
          <w:rStyle w:val="Ninguno"/>
          <w:rFonts w:ascii="Helvetica" w:hAnsi="Helvetica"/>
          <w:sz w:val="21"/>
          <w:szCs w:val="21"/>
        </w:rPr>
        <w:t xml:space="preserve"> y Robert Treviño. </w:t>
      </w:r>
      <w:r w:rsidRPr="004A1CD6">
        <w:rPr>
          <w:rStyle w:val="Ninguno"/>
          <w:rFonts w:ascii="Helvetica" w:hAnsi="Helvetica"/>
          <w:sz w:val="21"/>
          <w:szCs w:val="21"/>
          <w:lang w:val="en-US"/>
        </w:rPr>
        <w:t>Colabora con la St Petersburg Philharmonic, Royal Philharmonic Orchestra, BBC National Orchestra de Wales, Philharmonia Orchestra, Queensland Symphony Orchestra, Seoul Philharmonic, Singapore Symphony, Orchestre National de France, Helsinki Philharmonic</w:t>
      </w:r>
      <w:r w:rsidR="00CB00DD" w:rsidRPr="004A1CD6">
        <w:rPr>
          <w:rStyle w:val="Ninguno"/>
          <w:rFonts w:ascii="Helvetica" w:hAnsi="Helvetica"/>
          <w:sz w:val="21"/>
          <w:szCs w:val="21"/>
          <w:lang w:val="en-US"/>
        </w:rPr>
        <w:t xml:space="preserve">, Prague Symphony Orchestra, Xi´an Symphony Orchestra </w:t>
      </w:r>
      <w:r w:rsidRPr="004A1CD6">
        <w:rPr>
          <w:rStyle w:val="Ninguno"/>
          <w:rFonts w:ascii="Helvetica" w:hAnsi="Helvetica"/>
          <w:sz w:val="21"/>
          <w:szCs w:val="21"/>
          <w:lang w:val="en-US"/>
        </w:rPr>
        <w:t xml:space="preserve">y la Danish National Symphony Orchestra. </w:t>
      </w:r>
      <w:r w:rsidRPr="004A1CD6">
        <w:rPr>
          <w:rStyle w:val="Ninguno"/>
          <w:rFonts w:ascii="Helvetica" w:hAnsi="Helvetica"/>
          <w:sz w:val="21"/>
          <w:szCs w:val="21"/>
        </w:rPr>
        <w:t xml:space="preserve">En España ha trabajado entre otras con la Orquesta de Barcelona y Nacional de Cataluña, Orquesta Sinfónica de Bilbao, </w:t>
      </w:r>
      <w:r w:rsidR="00CB00DD" w:rsidRPr="004A1CD6">
        <w:rPr>
          <w:rStyle w:val="Ninguno"/>
          <w:rFonts w:ascii="Helvetica" w:hAnsi="Helvetica"/>
          <w:sz w:val="21"/>
          <w:szCs w:val="21"/>
        </w:rPr>
        <w:t xml:space="preserve">Sinfónica de Navarra, </w:t>
      </w:r>
      <w:r w:rsidRPr="004A1CD6">
        <w:rPr>
          <w:rStyle w:val="Ninguno"/>
          <w:rFonts w:ascii="Helvetica" w:hAnsi="Helvetica"/>
          <w:sz w:val="21"/>
          <w:szCs w:val="21"/>
        </w:rPr>
        <w:t>Sinfónica de Galicia</w:t>
      </w:r>
      <w:r w:rsidR="001174D0" w:rsidRPr="004A1CD6">
        <w:rPr>
          <w:rStyle w:val="Ninguno"/>
          <w:rFonts w:ascii="Helvetica" w:hAnsi="Helvetica"/>
          <w:sz w:val="21"/>
          <w:szCs w:val="21"/>
        </w:rPr>
        <w:t>, Orquesta y Coro de la RTVE,</w:t>
      </w:r>
      <w:r w:rsidRPr="004A1CD6">
        <w:rPr>
          <w:rStyle w:val="Ninguno"/>
          <w:rFonts w:ascii="Helvetica" w:hAnsi="Helvetica"/>
          <w:sz w:val="21"/>
          <w:szCs w:val="21"/>
        </w:rPr>
        <w:t xml:space="preserve"> Orquesta </w:t>
      </w:r>
      <w:r w:rsidR="001174D0" w:rsidRPr="004A1CD6">
        <w:rPr>
          <w:rStyle w:val="Ninguno"/>
          <w:rFonts w:ascii="Helvetica" w:hAnsi="Helvetica"/>
          <w:sz w:val="21"/>
          <w:szCs w:val="21"/>
        </w:rPr>
        <w:t xml:space="preserve">y Coro </w:t>
      </w:r>
      <w:r w:rsidRPr="004A1CD6">
        <w:rPr>
          <w:rStyle w:val="Ninguno"/>
          <w:rFonts w:ascii="Helvetica" w:hAnsi="Helvetica"/>
          <w:sz w:val="21"/>
          <w:szCs w:val="21"/>
        </w:rPr>
        <w:t xml:space="preserve">Nacional de España. </w:t>
      </w:r>
    </w:p>
    <w:p w14:paraId="29A7F842" w14:textId="77777777" w:rsidR="004A68AA" w:rsidRPr="004A1CD6" w:rsidRDefault="004A68AA">
      <w:pPr>
        <w:pStyle w:val="Encabezado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uppressAutoHyphens/>
        <w:jc w:val="both"/>
        <w:rPr>
          <w:rStyle w:val="Ninguno"/>
          <w:rFonts w:ascii="Helvetica" w:eastAsia="Arial" w:hAnsi="Helvetica" w:cs="Arial"/>
          <w:sz w:val="21"/>
          <w:szCs w:val="21"/>
        </w:rPr>
      </w:pPr>
    </w:p>
    <w:p w14:paraId="2BEBC2EF" w14:textId="15D7C0F6" w:rsidR="00AD5270" w:rsidRPr="004A1CD6" w:rsidRDefault="00072131">
      <w:pPr>
        <w:pStyle w:val="Encabezado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uppressAutoHyphens/>
        <w:jc w:val="both"/>
        <w:rPr>
          <w:rStyle w:val="Ninguno"/>
          <w:rFonts w:ascii="Helvetica" w:hAnsi="Helvetica"/>
          <w:sz w:val="21"/>
          <w:szCs w:val="21"/>
        </w:rPr>
      </w:pPr>
      <w:r w:rsidRPr="004A1CD6">
        <w:rPr>
          <w:rStyle w:val="Ninguno"/>
          <w:rFonts w:ascii="Helvetica" w:hAnsi="Helvetica"/>
          <w:sz w:val="21"/>
          <w:szCs w:val="21"/>
        </w:rPr>
        <w:t>Entre los frecuentes recitales que da en Londres, destacan sus participaciones en las Series Great Performers en el Barbican, en las Series Internacionales de Piano del Southbank Centre, y en las Series Pianoforte de Londres en el Wigmore Hall.</w:t>
      </w:r>
    </w:p>
    <w:p w14:paraId="0EA22531" w14:textId="77777777" w:rsidR="00AD5270" w:rsidRPr="004A1CD6" w:rsidRDefault="00AD5270">
      <w:pPr>
        <w:pStyle w:val="Encabezado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uppressAutoHyphens/>
        <w:jc w:val="both"/>
        <w:rPr>
          <w:rStyle w:val="Ninguno"/>
          <w:rFonts w:ascii="Helvetica" w:eastAsia="Arial" w:hAnsi="Helvetica" w:cs="Arial"/>
          <w:sz w:val="21"/>
          <w:szCs w:val="21"/>
        </w:rPr>
      </w:pPr>
    </w:p>
    <w:p w14:paraId="7D797E85" w14:textId="77777777" w:rsidR="00AD5270" w:rsidRPr="004A1CD6" w:rsidRDefault="00CB00DD">
      <w:pPr>
        <w:pStyle w:val="Encabezado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uppressAutoHyphens/>
        <w:jc w:val="both"/>
        <w:rPr>
          <w:rStyle w:val="Ninguno"/>
          <w:rFonts w:ascii="Helvetica" w:eastAsia="Arial" w:hAnsi="Helvetica" w:cs="Arial"/>
          <w:sz w:val="21"/>
          <w:szCs w:val="21"/>
        </w:rPr>
      </w:pPr>
      <w:r w:rsidRPr="004A1CD6">
        <w:rPr>
          <w:rStyle w:val="Ninguno"/>
          <w:rFonts w:ascii="Helvetica" w:hAnsi="Helvetica"/>
          <w:sz w:val="21"/>
          <w:szCs w:val="21"/>
        </w:rPr>
        <w:t>Su amplia discografía consiste en casi</w:t>
      </w:r>
      <w:r w:rsidR="006479EB" w:rsidRPr="004A1CD6">
        <w:rPr>
          <w:rStyle w:val="Ninguno"/>
          <w:rFonts w:ascii="Helvetica" w:hAnsi="Helvetica"/>
          <w:sz w:val="21"/>
          <w:szCs w:val="21"/>
        </w:rPr>
        <w:t xml:space="preserve"> </w:t>
      </w:r>
      <w:r w:rsidR="00072131" w:rsidRPr="004A1CD6">
        <w:rPr>
          <w:rStyle w:val="Ninguno"/>
          <w:rFonts w:ascii="Helvetica" w:hAnsi="Helvetica"/>
          <w:sz w:val="21"/>
          <w:szCs w:val="21"/>
        </w:rPr>
        <w:t>40</w:t>
      </w:r>
      <w:r w:rsidR="006479EB" w:rsidRPr="004A1CD6">
        <w:rPr>
          <w:rStyle w:val="Ninguno"/>
          <w:rFonts w:ascii="Helvetica" w:hAnsi="Helvetica"/>
          <w:sz w:val="21"/>
          <w:szCs w:val="21"/>
        </w:rPr>
        <w:t xml:space="preserve"> grabaciones. </w:t>
      </w:r>
      <w:r w:rsidR="00072131" w:rsidRPr="004A1CD6">
        <w:rPr>
          <w:rStyle w:val="Ninguno"/>
          <w:rFonts w:ascii="Helvetica" w:hAnsi="Helvetica"/>
          <w:sz w:val="21"/>
          <w:szCs w:val="21"/>
        </w:rPr>
        <w:t xml:space="preserve">Para Hyperion Records ha grabado más de 20 CD´s </w:t>
      </w:r>
      <w:r w:rsidRPr="004A1CD6">
        <w:rPr>
          <w:rStyle w:val="Ninguno"/>
          <w:rFonts w:ascii="Helvetica" w:hAnsi="Helvetica"/>
          <w:sz w:val="21"/>
          <w:szCs w:val="21"/>
        </w:rPr>
        <w:t xml:space="preserve">incluyendo </w:t>
      </w:r>
      <w:r w:rsidR="00072131" w:rsidRPr="004A1CD6">
        <w:rPr>
          <w:rStyle w:val="Ninguno"/>
          <w:rFonts w:ascii="Helvetica" w:hAnsi="Helvetica"/>
          <w:sz w:val="21"/>
          <w:szCs w:val="21"/>
        </w:rPr>
        <w:t xml:space="preserve">Conciertos para Piano No.2 y No.3 de Prokofiev con la London Philharmonic Orchestra </w:t>
      </w:r>
      <w:r w:rsidRPr="004A1CD6">
        <w:rPr>
          <w:rStyle w:val="Ninguno"/>
          <w:rFonts w:ascii="Helvetica" w:hAnsi="Helvetica"/>
          <w:sz w:val="21"/>
          <w:szCs w:val="21"/>
        </w:rPr>
        <w:t>reeditado en marzo 2015, el disco g</w:t>
      </w:r>
      <w:r w:rsidR="00072131" w:rsidRPr="004A1CD6">
        <w:rPr>
          <w:rStyle w:val="Ninguno"/>
          <w:rFonts w:ascii="Helvetica" w:hAnsi="Helvetica"/>
          <w:sz w:val="21"/>
          <w:szCs w:val="21"/>
        </w:rPr>
        <w:t xml:space="preserve">alardonado Elección del Editor de Gramophone de Medtner, </w:t>
      </w:r>
      <w:r w:rsidR="00072131" w:rsidRPr="004A1CD6">
        <w:rPr>
          <w:rStyle w:val="Ninguno"/>
          <w:rFonts w:ascii="Helvetica" w:hAnsi="Helvetica"/>
          <w:i/>
          <w:iCs/>
          <w:sz w:val="21"/>
          <w:szCs w:val="21"/>
        </w:rPr>
        <w:t>Music for two Pianos</w:t>
      </w:r>
      <w:r w:rsidR="00072131" w:rsidRPr="004A1CD6">
        <w:rPr>
          <w:rStyle w:val="Ninguno"/>
          <w:rFonts w:ascii="Helvetica" w:hAnsi="Helvetica"/>
          <w:sz w:val="21"/>
          <w:szCs w:val="21"/>
        </w:rPr>
        <w:t xml:space="preserve"> junto con Dmitri Alexeev, su CD de Rachmaninov galardonado con el BBC Music Magazine Best of The Year y el Diapason D ́Or, y los Conciertos para Piano de Tchaikovsky y Scriabin que obtuvieron el BBC Music magazine Best of The Year y Mejor Grabación de Concierto del Año por Classics CD. El disco de Chopin de Nikolai Demidenko que publicó en 2008 para ONYX Classics ganó Premio Especial Chopin MIDEM 2010.</w:t>
      </w:r>
    </w:p>
    <w:p w14:paraId="38F7BD96" w14:textId="77777777" w:rsidR="00AD5270" w:rsidRPr="004A1CD6" w:rsidRDefault="00AD5270">
      <w:pPr>
        <w:pStyle w:val="Encabezado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uppressAutoHyphens/>
        <w:jc w:val="both"/>
        <w:rPr>
          <w:rStyle w:val="Ninguno"/>
          <w:rFonts w:ascii="Helvetica" w:eastAsia="Arial" w:hAnsi="Helvetica" w:cs="Arial"/>
          <w:sz w:val="21"/>
          <w:szCs w:val="21"/>
        </w:rPr>
      </w:pPr>
    </w:p>
    <w:p w14:paraId="1330F458" w14:textId="4C78E908" w:rsidR="00AD5270" w:rsidRPr="004A1CD6" w:rsidRDefault="00072131">
      <w:pPr>
        <w:pStyle w:val="Encabezado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uppressAutoHyphens/>
        <w:jc w:val="both"/>
        <w:rPr>
          <w:rStyle w:val="Ninguno"/>
          <w:rFonts w:ascii="Helvetica" w:hAnsi="Helvetica"/>
          <w:sz w:val="21"/>
          <w:szCs w:val="21"/>
        </w:rPr>
      </w:pPr>
      <w:r w:rsidRPr="004A1CD6">
        <w:rPr>
          <w:rStyle w:val="Ninguno"/>
          <w:rFonts w:ascii="Helvetica" w:hAnsi="Helvetica"/>
          <w:sz w:val="21"/>
          <w:szCs w:val="21"/>
        </w:rPr>
        <w:t xml:space="preserve">Nikolai Demidenko forma parte de la escuela rusa de piano, siendo uno de sus más brillantes representantes. Estudió en el Conservatorio de Moscú con el pianista y pedagogo Dmitri Bashkirov. Premiado en el Concurso Internacional de Montreal y en el Concurso Internacional Tchaikovsky. En 2014 recibió un Doctorado Honorífico por parte de la Universidad de Surrey en reconocimiento a su aportación al campo de la Música. </w:t>
      </w:r>
    </w:p>
    <w:p w14:paraId="5590BBEF" w14:textId="2C86AC79" w:rsidR="001174D0" w:rsidRPr="004A1CD6" w:rsidRDefault="001174D0">
      <w:pPr>
        <w:pStyle w:val="Encabezado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uppressAutoHyphens/>
        <w:jc w:val="both"/>
        <w:rPr>
          <w:rStyle w:val="Ninguno"/>
          <w:rFonts w:ascii="Helvetica" w:hAnsi="Helvetica"/>
          <w:sz w:val="21"/>
          <w:szCs w:val="21"/>
        </w:rPr>
      </w:pPr>
    </w:p>
    <w:p w14:paraId="417CA4E4" w14:textId="606F7E4C" w:rsidR="003B6C1C" w:rsidRPr="004A1CD6" w:rsidRDefault="003B6C1C">
      <w:pPr>
        <w:pStyle w:val="Encabezado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uppressAutoHyphens/>
        <w:jc w:val="both"/>
        <w:rPr>
          <w:rStyle w:val="Ninguno"/>
          <w:rFonts w:ascii="Helvetica" w:hAnsi="Helvetica"/>
          <w:sz w:val="21"/>
          <w:szCs w:val="21"/>
        </w:rPr>
      </w:pPr>
      <w:r>
        <w:rPr>
          <w:rStyle w:val="Ninguno"/>
          <w:rFonts w:ascii="Helvetica" w:hAnsi="Helvetica"/>
          <w:sz w:val="21"/>
          <w:szCs w:val="21"/>
        </w:rPr>
        <w:t xml:space="preserve">Presentado por 1ª vez en España por Ibermúsica en recital en 1980. </w:t>
      </w:r>
    </w:p>
    <w:p w14:paraId="4888AF41" w14:textId="77777777" w:rsidR="00A868E6" w:rsidRDefault="00A868E6" w:rsidP="00A868E6">
      <w:pPr>
        <w:pStyle w:val="Encabezado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uppressAutoHyphens/>
        <w:jc w:val="right"/>
        <w:rPr>
          <w:rStyle w:val="Ninguno"/>
          <w:rFonts w:ascii="Helvetica" w:hAnsi="Helvetica"/>
          <w:sz w:val="21"/>
          <w:szCs w:val="21"/>
        </w:rPr>
      </w:pPr>
      <w:r>
        <w:rPr>
          <w:rStyle w:val="Ninguno"/>
          <w:rFonts w:ascii="Helvetica" w:hAnsi="Helvetica"/>
          <w:sz w:val="21"/>
          <w:szCs w:val="21"/>
        </w:rPr>
        <w:t xml:space="preserve"> </w:t>
      </w:r>
    </w:p>
    <w:p w14:paraId="581A8712" w14:textId="0DF39B9E" w:rsidR="00C665EB" w:rsidRPr="00182213" w:rsidRDefault="00A868E6" w:rsidP="00A868E6">
      <w:pPr>
        <w:pStyle w:val="Encabezado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uppressAutoHyphens/>
        <w:jc w:val="right"/>
        <w:rPr>
          <w:rStyle w:val="Ninguno"/>
          <w:rFonts w:ascii="Helvetica" w:hAnsi="Helvetica"/>
          <w:i/>
          <w:iCs/>
          <w:sz w:val="21"/>
          <w:szCs w:val="21"/>
        </w:rPr>
      </w:pPr>
      <w:r w:rsidRPr="00182213">
        <w:rPr>
          <w:rStyle w:val="Ninguno"/>
          <w:rFonts w:ascii="Helvetica" w:hAnsi="Helvetica"/>
          <w:i/>
          <w:iCs/>
          <w:sz w:val="21"/>
          <w:szCs w:val="21"/>
        </w:rPr>
        <w:t>Temporada 2</w:t>
      </w:r>
      <w:r w:rsidR="00182213" w:rsidRPr="00182213">
        <w:rPr>
          <w:rStyle w:val="Ninguno"/>
          <w:rFonts w:ascii="Helvetica" w:hAnsi="Helvetica"/>
          <w:i/>
          <w:iCs/>
          <w:sz w:val="21"/>
          <w:szCs w:val="21"/>
        </w:rPr>
        <w:t>3</w:t>
      </w:r>
      <w:r w:rsidRPr="00182213">
        <w:rPr>
          <w:rStyle w:val="Ninguno"/>
          <w:rFonts w:ascii="Helvetica" w:hAnsi="Helvetica"/>
          <w:i/>
          <w:iCs/>
          <w:sz w:val="21"/>
          <w:szCs w:val="21"/>
        </w:rPr>
        <w:t>.2</w:t>
      </w:r>
      <w:r w:rsidR="00182213" w:rsidRPr="00182213">
        <w:rPr>
          <w:rStyle w:val="Ninguno"/>
          <w:rFonts w:ascii="Helvetica" w:hAnsi="Helvetica"/>
          <w:i/>
          <w:iCs/>
          <w:sz w:val="21"/>
          <w:szCs w:val="21"/>
        </w:rPr>
        <w:t>4</w:t>
      </w:r>
    </w:p>
    <w:p w14:paraId="0CBC92BC" w14:textId="77777777" w:rsidR="00AD5270" w:rsidRPr="004A1CD6" w:rsidRDefault="00AD5270">
      <w:pPr>
        <w:pStyle w:val="Encabezado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uppressAutoHyphens/>
        <w:jc w:val="both"/>
        <w:rPr>
          <w:rStyle w:val="Ninguno"/>
          <w:rFonts w:ascii="Helvetica" w:eastAsia="Arial" w:hAnsi="Helvetica" w:cs="Arial"/>
          <w:sz w:val="21"/>
          <w:szCs w:val="21"/>
        </w:rPr>
      </w:pPr>
    </w:p>
    <w:sectPr w:rsidR="00AD5270" w:rsidRPr="004A1CD6" w:rsidSect="00C4521C">
      <w:headerReference w:type="default" r:id="rId7"/>
      <w:pgSz w:w="11900" w:h="16840"/>
      <w:pgMar w:top="1417" w:right="1701" w:bottom="1417" w:left="1701" w:header="3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8A98" w14:textId="77777777" w:rsidR="00142378" w:rsidRDefault="00142378">
      <w:r>
        <w:separator/>
      </w:r>
    </w:p>
  </w:endnote>
  <w:endnote w:type="continuationSeparator" w:id="0">
    <w:p w14:paraId="74634BDF" w14:textId="77777777" w:rsidR="00142378" w:rsidRDefault="0014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3449" w14:textId="77777777" w:rsidR="00142378" w:rsidRDefault="00142378">
      <w:r>
        <w:separator/>
      </w:r>
    </w:p>
  </w:footnote>
  <w:footnote w:type="continuationSeparator" w:id="0">
    <w:p w14:paraId="2A32413F" w14:textId="77777777" w:rsidR="00142378" w:rsidRDefault="0014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D810" w14:textId="2956946B" w:rsidR="00AD5270" w:rsidRDefault="00AD527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270"/>
    <w:rsid w:val="00024AC0"/>
    <w:rsid w:val="00072131"/>
    <w:rsid w:val="001174D0"/>
    <w:rsid w:val="00142378"/>
    <w:rsid w:val="00177C42"/>
    <w:rsid w:val="00182213"/>
    <w:rsid w:val="003B6C1C"/>
    <w:rsid w:val="003C3AA1"/>
    <w:rsid w:val="004779C0"/>
    <w:rsid w:val="004970E9"/>
    <w:rsid w:val="004A1CD6"/>
    <w:rsid w:val="004A68AA"/>
    <w:rsid w:val="004C08A8"/>
    <w:rsid w:val="005C680F"/>
    <w:rsid w:val="00620CA4"/>
    <w:rsid w:val="006479EB"/>
    <w:rsid w:val="008D109F"/>
    <w:rsid w:val="0097576A"/>
    <w:rsid w:val="009A2B98"/>
    <w:rsid w:val="00A026AA"/>
    <w:rsid w:val="00A622AA"/>
    <w:rsid w:val="00A868E6"/>
    <w:rsid w:val="00AD5270"/>
    <w:rsid w:val="00C4521C"/>
    <w:rsid w:val="00C665EB"/>
    <w:rsid w:val="00CB00DD"/>
    <w:rsid w:val="00CC24FC"/>
    <w:rsid w:val="00E242B5"/>
    <w:rsid w:val="00F131D2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C83CD7"/>
  <w15:docId w15:val="{E75AB0C0-4AC9-9B46-9293-8C6E491D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uerpoA">
    <w:name w:val="Cuerpo A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026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Lourdes Guillen</cp:lastModifiedBy>
  <cp:revision>14</cp:revision>
  <dcterms:created xsi:type="dcterms:W3CDTF">2019-07-15T17:28:00Z</dcterms:created>
  <dcterms:modified xsi:type="dcterms:W3CDTF">2023-10-26T14:27:00Z</dcterms:modified>
</cp:coreProperties>
</file>